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w:t>
                </w:r>
              </w:sdtContent>
            </w:sdt>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Pr="0095691F" w:rsidRDefault="000529D2" w:rsidP="0095691F">
            <w:pPr>
              <w:suppressLineNumbers/>
              <w:rPr>
                <w:rFonts w:ascii="Arial" w:hAnsi="Arial"/>
                <w:b/>
                <w:bCs/>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רשמת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שלי  פרקש</w:t>
                </w:r>
              </w:sdtContent>
            </w:sdt>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5228F8" w:rsidRDefault="006F048A">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D80799" w:rsidP="0002283F">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02283F">
                  <w:rPr>
                    <w:rFonts w:ascii="Arial" w:hAnsi="Arial" w:hint="cs"/>
                    <w:b/>
                    <w:bCs/>
                    <w:noProof w:val="0"/>
                    <w:sz w:val="26"/>
                    <w:szCs w:val="26"/>
                    <w:rtl/>
                  </w:rPr>
                  <w:t>ר.ס.</w:t>
                </w:r>
              </w:sdtContent>
            </w:sdt>
            <w:r w:rsidR="00E54CD9" w:rsidRPr="00E54CD9">
              <w:rPr>
                <w:rFonts w:ascii="Arial" w:hAnsi="Arial" w:hint="cs"/>
                <w:b/>
                <w:bCs/>
                <w:noProof w:val="0"/>
                <w:sz w:val="26"/>
                <w:szCs w:val="26"/>
                <w:rtl/>
              </w:rPr>
              <w:t xml:space="preserve"> </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D80799" w:rsidP="00D44968">
            <w:pPr>
              <w:suppressLineNumbers/>
              <w:rPr>
                <w:rFonts w:ascii="Arial" w:hAnsi="Arial"/>
                <w:b/>
                <w:bCs/>
                <w:noProof w:val="0"/>
                <w:sz w:val="26"/>
                <w:szCs w:val="26"/>
              </w:rPr>
            </w:pPr>
            <w:sdt>
              <w:sdtPr>
                <w:rPr>
                  <w:rtl/>
                </w:rPr>
                <w:alias w:val="1184"/>
                <w:tag w:val="1184"/>
                <w:id w:val="-340621022"/>
                <w:text w:multiLine="1"/>
              </w:sdtPr>
              <w:sdtEndPr/>
              <w:sdtContent>
                <w:r w:rsidR="006F048A">
                  <w:rPr>
                    <w:rFonts w:ascii="Arial" w:hAnsi="Arial"/>
                    <w:b/>
                    <w:bCs/>
                    <w:noProof w:val="0"/>
                    <w:sz w:val="26"/>
                    <w:szCs w:val="26"/>
                    <w:rtl/>
                  </w:rPr>
                  <w:t>משיב</w:t>
                </w:r>
              </w:sdtContent>
            </w:sdt>
          </w:p>
        </w:tc>
        <w:tc>
          <w:tcPr>
            <w:tcW w:w="5571" w:type="dxa"/>
            <w:gridSpan w:val="2"/>
          </w:tcPr>
          <w:p w:rsidR="00CF6BB7" w:rsidRPr="0095691F" w:rsidRDefault="00D80799" w:rsidP="0002283F">
            <w:pPr>
              <w:suppressLineNumbers/>
              <w:rPr>
                <w:rFonts w:ascii="Arial" w:hAnsi="Arial"/>
                <w:b/>
                <w:bCs/>
                <w:noProof w:val="0"/>
                <w:sz w:val="26"/>
                <w:szCs w:val="26"/>
                <w:rtl/>
              </w:rPr>
            </w:pPr>
            <w:sdt>
              <w:sdtPr>
                <w:rPr>
                  <w:rtl/>
                </w:rPr>
                <w:alias w:val="1486"/>
                <w:tag w:val="1486"/>
                <w:id w:val="-309872140"/>
                <w:text w:multiLine="1"/>
              </w:sdtPr>
              <w:sdtEndPr/>
              <w:sdtContent>
                <w:r w:rsidR="0002283F">
                  <w:rPr>
                    <w:rFonts w:ascii="Arial" w:hAnsi="Arial" w:hint="cs"/>
                    <w:b/>
                    <w:bCs/>
                    <w:noProof w:val="0"/>
                    <w:sz w:val="26"/>
                    <w:szCs w:val="26"/>
                    <w:rtl/>
                  </w:rPr>
                  <w:t>ר.ס.</w:t>
                </w:r>
              </w:sdtContent>
            </w:sdt>
            <w:r w:rsidR="00E54CD9">
              <w:rPr>
                <w:rFonts w:hint="cs"/>
                <w:rtl/>
              </w:rPr>
              <w:t xml:space="preserve"> </w:t>
            </w:r>
          </w:p>
        </w:tc>
      </w:tr>
    </w:tbl>
    <w:p w:rsidR="0095691F" w:rsidRDefault="0095691F" w:rsidP="00D44968">
      <w:pPr>
        <w:suppressLineNumbers/>
        <w:rPr>
          <w:rtl/>
        </w:rPr>
      </w:pPr>
    </w:p>
    <w:p w:rsidR="0095691F" w:rsidRDefault="0095691F"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95691F" w:rsidRPr="00D44968" w:rsidRDefault="0095691F" w:rsidP="00F40BEB">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F048A" w:rsidRDefault="006F048A" w:rsidP="00D764C3">
      <w:pPr>
        <w:pStyle w:val="ad"/>
        <w:numPr>
          <w:ilvl w:val="0"/>
          <w:numId w:val="1"/>
        </w:numPr>
        <w:spacing w:after="0" w:line="360" w:lineRule="auto"/>
        <w:ind w:left="0"/>
        <w:jc w:val="both"/>
        <w:rPr>
          <w:rFonts w:ascii="David" w:hAnsi="David" w:cs="David"/>
          <w:sz w:val="24"/>
          <w:szCs w:val="24"/>
        </w:rPr>
      </w:pPr>
      <w:bookmarkStart w:id="1" w:name="NGCSBookmark"/>
      <w:bookmarkEnd w:id="1"/>
      <w:r>
        <w:rPr>
          <w:rFonts w:ascii="David" w:hAnsi="David" w:cs="David"/>
          <w:sz w:val="24"/>
          <w:szCs w:val="24"/>
          <w:rtl/>
        </w:rPr>
        <w:t>לפניי בקשה למחיקה על הסף.</w:t>
      </w:r>
    </w:p>
    <w:p w:rsidR="006F048A" w:rsidRDefault="006F048A" w:rsidP="00D764C3">
      <w:pPr>
        <w:pStyle w:val="ad"/>
        <w:spacing w:after="0" w:line="360" w:lineRule="auto"/>
        <w:ind w:left="0"/>
        <w:jc w:val="both"/>
        <w:rPr>
          <w:rFonts w:ascii="David" w:hAnsi="David" w:cs="David"/>
          <w:sz w:val="24"/>
          <w:szCs w:val="24"/>
        </w:rPr>
      </w:pPr>
    </w:p>
    <w:p w:rsidR="006F048A" w:rsidRDefault="006F048A" w:rsidP="00D764C3">
      <w:pPr>
        <w:pStyle w:val="ad"/>
        <w:numPr>
          <w:ilvl w:val="0"/>
          <w:numId w:val="1"/>
        </w:numPr>
        <w:spacing w:after="0" w:line="360" w:lineRule="auto"/>
        <w:ind w:left="0"/>
        <w:jc w:val="both"/>
        <w:rPr>
          <w:rFonts w:ascii="David" w:hAnsi="David" w:cs="David"/>
          <w:sz w:val="24"/>
          <w:szCs w:val="24"/>
        </w:rPr>
      </w:pPr>
      <w:r>
        <w:rPr>
          <w:rFonts w:ascii="David" w:hAnsi="David" w:cs="David" w:hint="cs"/>
          <w:sz w:val="24"/>
          <w:szCs w:val="24"/>
          <w:rtl/>
        </w:rPr>
        <w:t xml:space="preserve">הצדדים הם בני-זוג לשעבר. </w:t>
      </w:r>
    </w:p>
    <w:p w:rsidR="006F048A" w:rsidRPr="006F048A" w:rsidRDefault="006F048A" w:rsidP="00D764C3">
      <w:pPr>
        <w:pStyle w:val="ad"/>
        <w:spacing w:after="0" w:line="360" w:lineRule="auto"/>
        <w:ind w:left="0"/>
        <w:jc w:val="both"/>
        <w:rPr>
          <w:rFonts w:ascii="David" w:hAnsi="David" w:cs="David"/>
          <w:sz w:val="24"/>
          <w:szCs w:val="24"/>
          <w:rtl/>
        </w:rPr>
      </w:pPr>
    </w:p>
    <w:p w:rsidR="000E116E" w:rsidRDefault="000E116E" w:rsidP="00D764C3">
      <w:pPr>
        <w:pStyle w:val="ad"/>
        <w:numPr>
          <w:ilvl w:val="0"/>
          <w:numId w:val="1"/>
        </w:numPr>
        <w:spacing w:after="0" w:line="360" w:lineRule="auto"/>
        <w:ind w:left="0"/>
        <w:jc w:val="both"/>
        <w:rPr>
          <w:rFonts w:ascii="David" w:hAnsi="David" w:cs="David"/>
          <w:sz w:val="24"/>
          <w:szCs w:val="24"/>
        </w:rPr>
      </w:pPr>
      <w:r>
        <w:rPr>
          <w:rFonts w:ascii="David" w:hAnsi="David" w:cs="David" w:hint="cs"/>
          <w:sz w:val="24"/>
          <w:szCs w:val="24"/>
          <w:rtl/>
        </w:rPr>
        <w:t xml:space="preserve">המבקשת </w:t>
      </w:r>
      <w:r w:rsidR="0002283F">
        <w:rPr>
          <w:rFonts w:ascii="David" w:hAnsi="David" w:cs="David" w:hint="cs"/>
          <w:sz w:val="24"/>
          <w:szCs w:val="24"/>
          <w:rtl/>
        </w:rPr>
        <w:t>מתגוררת בבית הצדדים במושב ...</w:t>
      </w:r>
      <w:r>
        <w:rPr>
          <w:rFonts w:ascii="David" w:hAnsi="David" w:cs="David" w:hint="cs"/>
          <w:sz w:val="24"/>
          <w:szCs w:val="24"/>
          <w:rtl/>
        </w:rPr>
        <w:t xml:space="preserve"> לאחר שניתן לה לבקשתה צו מדור ספציפי בבית הדין הרבני. </w:t>
      </w:r>
    </w:p>
    <w:p w:rsidR="000E116E" w:rsidRDefault="000E116E" w:rsidP="00D764C3">
      <w:pPr>
        <w:pStyle w:val="ad"/>
        <w:spacing w:after="0" w:line="360" w:lineRule="auto"/>
        <w:ind w:left="0"/>
        <w:jc w:val="both"/>
        <w:rPr>
          <w:rFonts w:ascii="David" w:hAnsi="David" w:cs="David"/>
          <w:sz w:val="24"/>
          <w:szCs w:val="24"/>
        </w:rPr>
      </w:pPr>
    </w:p>
    <w:p w:rsidR="006F048A" w:rsidRDefault="000E116E" w:rsidP="00D764C3">
      <w:pPr>
        <w:pStyle w:val="ad"/>
        <w:numPr>
          <w:ilvl w:val="0"/>
          <w:numId w:val="1"/>
        </w:numPr>
        <w:spacing w:after="0" w:line="360" w:lineRule="auto"/>
        <w:ind w:left="0"/>
        <w:jc w:val="both"/>
        <w:rPr>
          <w:rFonts w:ascii="David" w:hAnsi="David" w:cs="David"/>
          <w:sz w:val="24"/>
          <w:szCs w:val="24"/>
          <w:rtl/>
        </w:rPr>
      </w:pPr>
      <w:r>
        <w:rPr>
          <w:rFonts w:ascii="David" w:hAnsi="David" w:cs="David" w:hint="cs"/>
          <w:sz w:val="24"/>
          <w:szCs w:val="24"/>
          <w:rtl/>
        </w:rPr>
        <w:t>בתיקים הקשורים מתנהלת תביעת</w:t>
      </w:r>
      <w:r w:rsidR="006F048A">
        <w:rPr>
          <w:rFonts w:ascii="David" w:hAnsi="David" w:cs="David" w:hint="cs"/>
          <w:sz w:val="24"/>
          <w:szCs w:val="24"/>
          <w:rtl/>
        </w:rPr>
        <w:t xml:space="preserve"> המשיב לפירוק שיתוף בדירת המגורים, לאיזון משאבים ולדמי שימוש ראויים. </w:t>
      </w:r>
    </w:p>
    <w:p w:rsidR="006F048A" w:rsidRDefault="006F048A" w:rsidP="00D764C3">
      <w:pPr>
        <w:pStyle w:val="ad"/>
        <w:spacing w:after="0" w:line="360" w:lineRule="auto"/>
        <w:ind w:left="0"/>
        <w:jc w:val="both"/>
        <w:rPr>
          <w:rFonts w:ascii="David" w:hAnsi="David" w:cs="David"/>
          <w:sz w:val="24"/>
          <w:szCs w:val="24"/>
        </w:rPr>
      </w:pPr>
    </w:p>
    <w:p w:rsidR="006F048A" w:rsidRDefault="000E116E" w:rsidP="00D764C3">
      <w:pPr>
        <w:pStyle w:val="ad"/>
        <w:numPr>
          <w:ilvl w:val="0"/>
          <w:numId w:val="1"/>
        </w:numPr>
        <w:spacing w:after="0" w:line="360" w:lineRule="auto"/>
        <w:ind w:left="0"/>
        <w:jc w:val="both"/>
        <w:rPr>
          <w:rFonts w:ascii="David" w:hAnsi="David" w:cs="David"/>
          <w:sz w:val="24"/>
          <w:szCs w:val="24"/>
        </w:rPr>
      </w:pPr>
      <w:r>
        <w:rPr>
          <w:rFonts w:ascii="David" w:hAnsi="David" w:cs="David" w:hint="cs"/>
          <w:sz w:val="24"/>
          <w:szCs w:val="24"/>
          <w:rtl/>
        </w:rPr>
        <w:t xml:space="preserve">אחר זאת </w:t>
      </w:r>
      <w:r w:rsidR="006F048A">
        <w:rPr>
          <w:rFonts w:ascii="David" w:hAnsi="David" w:cs="David"/>
          <w:sz w:val="24"/>
          <w:szCs w:val="24"/>
          <w:rtl/>
        </w:rPr>
        <w:t xml:space="preserve">המשיב הגיש </w:t>
      </w:r>
      <w:r>
        <w:rPr>
          <w:rFonts w:ascii="David" w:hAnsi="David" w:cs="David" w:hint="cs"/>
          <w:sz w:val="24"/>
          <w:szCs w:val="24"/>
          <w:rtl/>
        </w:rPr>
        <w:t>ה</w:t>
      </w:r>
      <w:r w:rsidR="006F048A">
        <w:rPr>
          <w:rFonts w:ascii="David" w:hAnsi="David" w:cs="David"/>
          <w:sz w:val="24"/>
          <w:szCs w:val="24"/>
          <w:rtl/>
        </w:rPr>
        <w:t xml:space="preserve">תובענה </w:t>
      </w:r>
      <w:r>
        <w:rPr>
          <w:rFonts w:ascii="David" w:hAnsi="David" w:cs="David" w:hint="cs"/>
          <w:sz w:val="24"/>
          <w:szCs w:val="24"/>
          <w:rtl/>
        </w:rPr>
        <w:t xml:space="preserve">דכאן </w:t>
      </w:r>
      <w:r w:rsidR="006F048A">
        <w:rPr>
          <w:rFonts w:ascii="David" w:hAnsi="David" w:cs="David"/>
          <w:sz w:val="24"/>
          <w:szCs w:val="24"/>
          <w:rtl/>
        </w:rPr>
        <w:t>שכותרתה "תביעה למזונות אשה".</w:t>
      </w:r>
    </w:p>
    <w:p w:rsidR="006F048A" w:rsidRDefault="006F048A" w:rsidP="00D764C3">
      <w:pPr>
        <w:pStyle w:val="ad"/>
        <w:spacing w:after="0" w:line="360" w:lineRule="auto"/>
        <w:ind w:left="0"/>
        <w:jc w:val="both"/>
        <w:rPr>
          <w:rFonts w:ascii="David" w:hAnsi="David" w:cs="David"/>
          <w:sz w:val="24"/>
          <w:szCs w:val="24"/>
        </w:rPr>
      </w:pPr>
    </w:p>
    <w:p w:rsidR="006F048A" w:rsidRDefault="006F048A" w:rsidP="0002283F">
      <w:pPr>
        <w:pStyle w:val="ad"/>
        <w:numPr>
          <w:ilvl w:val="0"/>
          <w:numId w:val="1"/>
        </w:numPr>
        <w:spacing w:after="0" w:line="360" w:lineRule="auto"/>
        <w:ind w:left="0"/>
        <w:jc w:val="both"/>
        <w:rPr>
          <w:rFonts w:ascii="David" w:hAnsi="David" w:cs="David"/>
          <w:sz w:val="24"/>
          <w:szCs w:val="24"/>
          <w:rtl/>
        </w:rPr>
      </w:pPr>
      <w:r>
        <w:rPr>
          <w:rFonts w:ascii="David" w:hAnsi="David" w:cs="David"/>
          <w:sz w:val="24"/>
          <w:szCs w:val="24"/>
          <w:rtl/>
        </w:rPr>
        <w:t>תמצית טענות המבקשת, כי התביעה הוגשה בחוסר עילה שבדין, כי היא קנטרנית וטורדנית, כי המשיב הגיש תביעה "נגד עצמו", כי קיימת סמכות נמשכת לבית הדין הרבני, כי תביעת הג</w:t>
      </w:r>
      <w:r w:rsidR="000E116E">
        <w:rPr>
          <w:rFonts w:ascii="David" w:hAnsi="David" w:cs="David"/>
          <w:sz w:val="24"/>
          <w:szCs w:val="24"/>
          <w:rtl/>
        </w:rPr>
        <w:t xml:space="preserve">ירושין נדחתה בעקבות כך שהמשיב </w:t>
      </w:r>
      <w:r w:rsidR="000E116E">
        <w:rPr>
          <w:rFonts w:ascii="David" w:hAnsi="David" w:cs="David" w:hint="cs"/>
          <w:sz w:val="24"/>
          <w:szCs w:val="24"/>
          <w:rtl/>
        </w:rPr>
        <w:t>בזוגיות</w:t>
      </w:r>
      <w:r>
        <w:rPr>
          <w:rFonts w:ascii="David" w:hAnsi="David" w:cs="David"/>
          <w:sz w:val="24"/>
          <w:szCs w:val="24"/>
          <w:rtl/>
        </w:rPr>
        <w:t xml:space="preserve"> </w:t>
      </w:r>
      <w:r w:rsidR="000E116E">
        <w:rPr>
          <w:rFonts w:ascii="David" w:hAnsi="David" w:cs="David"/>
          <w:sz w:val="24"/>
          <w:szCs w:val="24"/>
          <w:rtl/>
        </w:rPr>
        <w:t>משנת 2014</w:t>
      </w:r>
      <w:r w:rsidR="000E116E">
        <w:rPr>
          <w:rFonts w:ascii="David" w:hAnsi="David" w:cs="David" w:hint="cs"/>
          <w:sz w:val="24"/>
          <w:szCs w:val="24"/>
          <w:rtl/>
        </w:rPr>
        <w:t xml:space="preserve"> </w:t>
      </w:r>
      <w:r>
        <w:rPr>
          <w:rFonts w:ascii="David" w:hAnsi="David" w:cs="David"/>
          <w:sz w:val="24"/>
          <w:szCs w:val="24"/>
          <w:rtl/>
        </w:rPr>
        <w:t xml:space="preserve">עם </w:t>
      </w:r>
      <w:r w:rsidR="0002283F">
        <w:rPr>
          <w:rFonts w:ascii="David" w:hAnsi="David" w:cs="David" w:hint="cs"/>
          <w:sz w:val="24"/>
          <w:szCs w:val="24"/>
          <w:rtl/>
        </w:rPr>
        <w:t>....</w:t>
      </w:r>
      <w:r>
        <w:rPr>
          <w:rFonts w:ascii="David" w:hAnsi="David" w:cs="David"/>
          <w:sz w:val="24"/>
          <w:szCs w:val="24"/>
          <w:rtl/>
        </w:rPr>
        <w:t>, וכי קיים צו למדור ספציפי המונע פירוק השיתוף בבית המגורים.</w:t>
      </w:r>
    </w:p>
    <w:p w:rsidR="006F048A" w:rsidRDefault="006F048A" w:rsidP="00D764C3">
      <w:pPr>
        <w:pStyle w:val="ad"/>
        <w:spacing w:after="0" w:line="360" w:lineRule="auto"/>
        <w:ind w:left="0"/>
        <w:jc w:val="both"/>
        <w:rPr>
          <w:rFonts w:ascii="David" w:hAnsi="David" w:cs="David"/>
          <w:sz w:val="24"/>
          <w:szCs w:val="24"/>
        </w:rPr>
      </w:pPr>
    </w:p>
    <w:p w:rsidR="000E116E" w:rsidRDefault="006F048A" w:rsidP="00D764C3">
      <w:pPr>
        <w:pStyle w:val="ad"/>
        <w:numPr>
          <w:ilvl w:val="0"/>
          <w:numId w:val="1"/>
        </w:numPr>
        <w:spacing w:after="0" w:line="360" w:lineRule="auto"/>
        <w:ind w:left="0"/>
        <w:jc w:val="both"/>
        <w:rPr>
          <w:rFonts w:ascii="David" w:hAnsi="David" w:cs="David"/>
          <w:sz w:val="24"/>
          <w:szCs w:val="24"/>
        </w:rPr>
      </w:pPr>
      <w:r>
        <w:rPr>
          <w:rFonts w:ascii="David" w:hAnsi="David" w:cs="David"/>
          <w:sz w:val="24"/>
          <w:szCs w:val="24"/>
          <w:rtl/>
        </w:rPr>
        <w:t xml:space="preserve">תמצית טענות המשיב, כי בין הצדדים מתנהל במקביל הליך שעניינו פירוק שיתוף, איזון משאבים ודמי שימוש, כי המשיב אינו מתגורר בבית המגורים כ-10 שנים, כי המבקשת טענה שהיא זכאית להתגורר בבית המגורים ללא תשלום דמי שימוש מאחר שהיא זכאית לדמי מזונות, וכי כל התיקים שהתנהלו בבית הדין הרבני נסגרו.   </w:t>
      </w:r>
    </w:p>
    <w:p w:rsidR="000E116E" w:rsidRDefault="000E116E" w:rsidP="00D764C3">
      <w:pPr>
        <w:pStyle w:val="ad"/>
        <w:spacing w:after="0" w:line="360" w:lineRule="auto"/>
        <w:ind w:left="0"/>
        <w:jc w:val="both"/>
        <w:rPr>
          <w:rFonts w:ascii="David" w:hAnsi="David" w:cs="David"/>
          <w:sz w:val="24"/>
          <w:szCs w:val="24"/>
          <w:rtl/>
        </w:rPr>
      </w:pPr>
    </w:p>
    <w:p w:rsidR="000E116E" w:rsidRDefault="006F048A" w:rsidP="00D764C3">
      <w:pPr>
        <w:pStyle w:val="ad"/>
        <w:numPr>
          <w:ilvl w:val="0"/>
          <w:numId w:val="1"/>
        </w:numPr>
        <w:spacing w:after="0" w:line="360" w:lineRule="auto"/>
        <w:ind w:left="0"/>
        <w:jc w:val="both"/>
        <w:rPr>
          <w:rFonts w:ascii="David" w:hAnsi="David" w:cs="David"/>
          <w:sz w:val="24"/>
          <w:szCs w:val="24"/>
        </w:rPr>
      </w:pPr>
      <w:r>
        <w:rPr>
          <w:rFonts w:ascii="David" w:hAnsi="David" w:cs="David"/>
          <w:sz w:val="24"/>
          <w:szCs w:val="24"/>
          <w:rtl/>
        </w:rPr>
        <w:t xml:space="preserve">ההלכה הפסוקה בנוגע לסילוק על הסף ידועה, "סעד כאמור שמור למקרים מיוחדים ויוצאי דופן שבהם ברור כי גם אם יוכחו מלוא הטענות בכתב התביעה, אין אפשרות, ולו קלושה, כי התובע יוכל </w:t>
      </w:r>
      <w:r>
        <w:rPr>
          <w:rFonts w:ascii="David" w:hAnsi="David" w:cs="David"/>
          <w:sz w:val="24"/>
          <w:szCs w:val="24"/>
          <w:rtl/>
        </w:rPr>
        <w:lastRenderedPageBreak/>
        <w:t xml:space="preserve">לקבל את הסעד המבוקש על ידו". ר' סעיף 20 לפסק-הדין ב-רע"א 1099/21 </w:t>
      </w:r>
      <w:r>
        <w:rPr>
          <w:rFonts w:ascii="David" w:hAnsi="David" w:cs="David"/>
          <w:b/>
          <w:bCs/>
          <w:sz w:val="24"/>
          <w:szCs w:val="24"/>
          <w:rtl/>
        </w:rPr>
        <w:t>הרמטיק נאמנות (1987) בע"מ, נ' אקסטרה פיתוח ייזום בע"מ ואח',</w:t>
      </w:r>
      <w:r>
        <w:rPr>
          <w:rFonts w:ascii="David" w:hAnsi="David" w:cs="David"/>
          <w:sz w:val="24"/>
          <w:szCs w:val="24"/>
          <w:rtl/>
        </w:rPr>
        <w:t xml:space="preserve"> מיום 17.11.21. </w:t>
      </w:r>
    </w:p>
    <w:p w:rsidR="000E116E" w:rsidRDefault="000E116E" w:rsidP="00D764C3">
      <w:pPr>
        <w:pStyle w:val="ad"/>
        <w:spacing w:after="0" w:line="360" w:lineRule="auto"/>
        <w:ind w:left="0"/>
        <w:jc w:val="both"/>
        <w:rPr>
          <w:rFonts w:ascii="David" w:hAnsi="David" w:cs="David"/>
          <w:sz w:val="24"/>
          <w:szCs w:val="24"/>
        </w:rPr>
      </w:pPr>
    </w:p>
    <w:p w:rsidR="006F048A" w:rsidRDefault="00784567" w:rsidP="00D764C3">
      <w:pPr>
        <w:pStyle w:val="ad"/>
        <w:numPr>
          <w:ilvl w:val="0"/>
          <w:numId w:val="1"/>
        </w:numPr>
        <w:spacing w:after="0" w:line="360" w:lineRule="auto"/>
        <w:ind w:left="0"/>
        <w:jc w:val="both"/>
        <w:rPr>
          <w:rFonts w:ascii="David" w:hAnsi="David" w:cs="David"/>
          <w:sz w:val="24"/>
          <w:szCs w:val="24"/>
          <w:rtl/>
        </w:rPr>
      </w:pPr>
      <w:r>
        <w:rPr>
          <w:rFonts w:ascii="David" w:hAnsi="David" w:cs="David"/>
          <w:sz w:val="24"/>
          <w:szCs w:val="24"/>
          <w:rtl/>
        </w:rPr>
        <w:t>הוראת הדין הרלבנטית קבועה</w:t>
      </w:r>
      <w:r w:rsidR="006F048A">
        <w:rPr>
          <w:rFonts w:ascii="David" w:hAnsi="David" w:cs="David"/>
          <w:sz w:val="24"/>
          <w:szCs w:val="24"/>
          <w:rtl/>
        </w:rPr>
        <w:t xml:space="preserve"> בהוראת תקנה 41 לתקנות סדר הדין האזרחי, תשע"ט-2018.</w:t>
      </w:r>
    </w:p>
    <w:p w:rsidR="006F048A" w:rsidRDefault="006F048A" w:rsidP="00D764C3">
      <w:pPr>
        <w:pStyle w:val="ad"/>
        <w:spacing w:after="0" w:line="360" w:lineRule="auto"/>
        <w:ind w:left="0"/>
        <w:jc w:val="both"/>
        <w:rPr>
          <w:rFonts w:ascii="David" w:hAnsi="David" w:cs="David"/>
          <w:sz w:val="24"/>
          <w:szCs w:val="24"/>
        </w:rPr>
      </w:pPr>
    </w:p>
    <w:p w:rsidR="006F048A" w:rsidRDefault="006F048A" w:rsidP="00D764C3">
      <w:pPr>
        <w:pStyle w:val="ad"/>
        <w:numPr>
          <w:ilvl w:val="0"/>
          <w:numId w:val="1"/>
        </w:numPr>
        <w:spacing w:after="0" w:line="360" w:lineRule="auto"/>
        <w:ind w:left="0"/>
        <w:jc w:val="both"/>
        <w:rPr>
          <w:rFonts w:ascii="David" w:hAnsi="David" w:cs="David"/>
          <w:sz w:val="24"/>
          <w:szCs w:val="24"/>
        </w:rPr>
      </w:pPr>
      <w:r>
        <w:rPr>
          <w:rFonts w:ascii="David" w:hAnsi="David" w:cs="David"/>
          <w:sz w:val="24"/>
          <w:szCs w:val="24"/>
          <w:rtl/>
        </w:rPr>
        <w:t xml:space="preserve">כפי שיפורט להלן, </w:t>
      </w:r>
      <w:r w:rsidR="00784567">
        <w:rPr>
          <w:rFonts w:ascii="David" w:hAnsi="David" w:cs="David" w:hint="cs"/>
          <w:sz w:val="24"/>
          <w:szCs w:val="24"/>
          <w:rtl/>
        </w:rPr>
        <w:t xml:space="preserve">נחה דעתי כי </w:t>
      </w:r>
      <w:r>
        <w:rPr>
          <w:rFonts w:ascii="David" w:hAnsi="David" w:cs="David"/>
          <w:sz w:val="24"/>
          <w:szCs w:val="24"/>
          <w:rtl/>
        </w:rPr>
        <w:t>המקרה נכנס לגדרי המקרים החריגים שבהם הסיכוי של התובע לזכות בסעד המבוקש על-ידו הם אפסיים ועל כן, דין הבקשה להתקבל.</w:t>
      </w:r>
    </w:p>
    <w:p w:rsidR="000E116E" w:rsidRPr="000E116E" w:rsidRDefault="000E116E" w:rsidP="00D764C3">
      <w:pPr>
        <w:pStyle w:val="ad"/>
        <w:spacing w:after="0" w:line="360" w:lineRule="auto"/>
        <w:ind w:left="0"/>
        <w:jc w:val="both"/>
        <w:rPr>
          <w:rFonts w:ascii="David" w:hAnsi="David" w:cs="David"/>
          <w:sz w:val="24"/>
          <w:szCs w:val="24"/>
          <w:rtl/>
        </w:rPr>
      </w:pPr>
    </w:p>
    <w:p w:rsidR="000E116E" w:rsidRPr="000E116E" w:rsidRDefault="000E116E" w:rsidP="00D764C3">
      <w:pPr>
        <w:pStyle w:val="ad"/>
        <w:numPr>
          <w:ilvl w:val="0"/>
          <w:numId w:val="1"/>
        </w:numPr>
        <w:spacing w:after="0" w:line="360" w:lineRule="auto"/>
        <w:ind w:left="0"/>
        <w:jc w:val="both"/>
        <w:rPr>
          <w:rFonts w:ascii="David" w:hAnsi="David" w:cs="David"/>
          <w:sz w:val="24"/>
          <w:szCs w:val="24"/>
          <w:rtl/>
        </w:rPr>
      </w:pPr>
      <w:r>
        <w:rPr>
          <w:rFonts w:ascii="David" w:hAnsi="David" w:cs="David"/>
          <w:sz w:val="24"/>
          <w:szCs w:val="24"/>
          <w:rtl/>
        </w:rPr>
        <w:t xml:space="preserve">עיון בכתב התביעה מעלה כי </w:t>
      </w:r>
      <w:r w:rsidR="0095691F">
        <w:rPr>
          <w:rFonts w:ascii="David" w:hAnsi="David" w:cs="David" w:hint="cs"/>
          <w:sz w:val="24"/>
          <w:szCs w:val="24"/>
          <w:rtl/>
        </w:rPr>
        <w:t xml:space="preserve">חרף הכותרת, לא עתר </w:t>
      </w:r>
      <w:r w:rsidR="0095691F">
        <w:rPr>
          <w:rFonts w:ascii="David" w:hAnsi="David" w:cs="David"/>
          <w:sz w:val="24"/>
          <w:szCs w:val="24"/>
          <w:rtl/>
        </w:rPr>
        <w:t xml:space="preserve">המשיב </w:t>
      </w:r>
      <w:r w:rsidR="0095691F">
        <w:rPr>
          <w:rFonts w:ascii="David" w:hAnsi="David" w:cs="David" w:hint="cs"/>
          <w:sz w:val="24"/>
          <w:szCs w:val="24"/>
          <w:rtl/>
        </w:rPr>
        <w:t>לפסיקת מזונות אישה אלא</w:t>
      </w:r>
      <w:r w:rsidR="00F40BEB">
        <w:rPr>
          <w:rFonts w:ascii="David" w:hAnsi="David" w:cs="David" w:hint="cs"/>
          <w:sz w:val="24"/>
          <w:szCs w:val="24"/>
          <w:rtl/>
        </w:rPr>
        <w:t xml:space="preserve"> להפך,</w:t>
      </w:r>
      <w:r w:rsidR="0095691F">
        <w:rPr>
          <w:rFonts w:ascii="David" w:hAnsi="David" w:cs="David" w:hint="cs"/>
          <w:sz w:val="24"/>
          <w:szCs w:val="24"/>
          <w:rtl/>
        </w:rPr>
        <w:t xml:space="preserve"> </w:t>
      </w:r>
      <w:r>
        <w:rPr>
          <w:rFonts w:ascii="David" w:hAnsi="David" w:cs="David"/>
          <w:sz w:val="24"/>
          <w:szCs w:val="24"/>
          <w:rtl/>
        </w:rPr>
        <w:t>"להורות כי האשה אינה זכאית למזונות אשה".</w:t>
      </w:r>
    </w:p>
    <w:p w:rsidR="006F048A" w:rsidRDefault="006F048A" w:rsidP="00D764C3">
      <w:pPr>
        <w:pStyle w:val="ad"/>
        <w:spacing w:after="0" w:line="360" w:lineRule="auto"/>
        <w:ind w:left="0"/>
        <w:jc w:val="both"/>
        <w:rPr>
          <w:rFonts w:ascii="David" w:hAnsi="David" w:cs="David"/>
          <w:sz w:val="24"/>
          <w:szCs w:val="24"/>
        </w:rPr>
      </w:pPr>
    </w:p>
    <w:p w:rsidR="006F048A" w:rsidRDefault="006F048A" w:rsidP="00D764C3">
      <w:pPr>
        <w:pStyle w:val="ad"/>
        <w:numPr>
          <w:ilvl w:val="0"/>
          <w:numId w:val="1"/>
        </w:numPr>
        <w:spacing w:after="0" w:line="360" w:lineRule="auto"/>
        <w:ind w:left="0"/>
        <w:jc w:val="both"/>
        <w:rPr>
          <w:rFonts w:ascii="David" w:hAnsi="David" w:cs="David"/>
          <w:sz w:val="24"/>
          <w:szCs w:val="24"/>
          <w:rtl/>
        </w:rPr>
      </w:pPr>
      <w:r>
        <w:rPr>
          <w:rFonts w:ascii="David" w:hAnsi="David" w:cs="David"/>
          <w:sz w:val="24"/>
          <w:szCs w:val="24"/>
          <w:rtl/>
        </w:rPr>
        <w:t>הלכה למעשה, מדובר בתובענה למתן סעד הצהרתי שלילי.</w:t>
      </w:r>
    </w:p>
    <w:p w:rsidR="006F048A" w:rsidRDefault="006F048A" w:rsidP="00D764C3">
      <w:pPr>
        <w:pStyle w:val="ad"/>
        <w:spacing w:after="0" w:line="360" w:lineRule="auto"/>
        <w:ind w:left="0"/>
        <w:jc w:val="both"/>
        <w:rPr>
          <w:rFonts w:ascii="David" w:hAnsi="David" w:cs="David"/>
          <w:sz w:val="24"/>
          <w:szCs w:val="24"/>
        </w:rPr>
      </w:pPr>
    </w:p>
    <w:p w:rsidR="006F048A" w:rsidRDefault="00784567" w:rsidP="00D764C3">
      <w:pPr>
        <w:pStyle w:val="ad"/>
        <w:numPr>
          <w:ilvl w:val="0"/>
          <w:numId w:val="1"/>
        </w:numPr>
        <w:spacing w:after="0" w:line="360" w:lineRule="auto"/>
        <w:ind w:left="0"/>
        <w:jc w:val="both"/>
        <w:rPr>
          <w:rFonts w:ascii="David" w:hAnsi="David" w:cs="David"/>
          <w:sz w:val="24"/>
          <w:szCs w:val="24"/>
          <w:rtl/>
        </w:rPr>
      </w:pPr>
      <w:r>
        <w:rPr>
          <w:rFonts w:ascii="David" w:hAnsi="David" w:cs="David" w:hint="cs"/>
          <w:sz w:val="24"/>
          <w:szCs w:val="24"/>
          <w:rtl/>
        </w:rPr>
        <w:t xml:space="preserve">הלכה פסוקה, </w:t>
      </w:r>
      <w:r w:rsidR="006F048A">
        <w:rPr>
          <w:rFonts w:ascii="David" w:hAnsi="David" w:cs="David"/>
          <w:sz w:val="24"/>
          <w:szCs w:val="24"/>
          <w:rtl/>
        </w:rPr>
        <w:t xml:space="preserve">"...עקרונית יכול בית המשפט לתת לאדם הצהרה, שאין הוא חייב על-פי תביעה, שהוגשה נגדו על-ידי פלוני או שפלוני עלול להגישה נגדו, וזאת כדי להקדים רפואה למכה. במתן הצהרה כזאת (אם כי היא תינתן רק בנסיבות נדירות) מגן בית המשפט מראש על זכותו של מבקש ההצהרה שלא להיתבע בתביעתו של פלוני". ר' ע"א 59/80 </w:t>
      </w:r>
      <w:r w:rsidR="006F048A">
        <w:rPr>
          <w:rFonts w:ascii="David" w:hAnsi="David" w:cs="David"/>
          <w:b/>
          <w:bCs/>
          <w:sz w:val="24"/>
          <w:szCs w:val="24"/>
          <w:rtl/>
        </w:rPr>
        <w:t xml:space="preserve">מנחם פלדי נ' קופת חולים של </w:t>
      </w:r>
      <w:r w:rsidR="006F048A">
        <w:rPr>
          <w:rFonts w:ascii="David" w:hAnsi="David" w:cs="David"/>
          <w:b/>
          <w:bCs/>
          <w:color w:val="333333"/>
          <w:sz w:val="24"/>
          <w:szCs w:val="24"/>
          <w:rtl/>
        </w:rPr>
        <w:t>ההסתדרות הכללית של העובדים בארץ ישראל</w:t>
      </w:r>
      <w:r w:rsidR="006F048A">
        <w:rPr>
          <w:rFonts w:ascii="David" w:hAnsi="David" w:cs="David"/>
          <w:color w:val="333333"/>
          <w:sz w:val="24"/>
          <w:szCs w:val="24"/>
          <w:rtl/>
        </w:rPr>
        <w:t xml:space="preserve">, פ"ד לה(4) 378 (1981). </w:t>
      </w:r>
    </w:p>
    <w:p w:rsidR="006F048A" w:rsidRDefault="006F048A" w:rsidP="00D764C3">
      <w:pPr>
        <w:pStyle w:val="ad"/>
        <w:spacing w:after="0" w:line="360" w:lineRule="auto"/>
        <w:ind w:left="0"/>
        <w:jc w:val="both"/>
        <w:rPr>
          <w:rFonts w:ascii="David" w:hAnsi="David" w:cs="David"/>
          <w:sz w:val="24"/>
          <w:szCs w:val="24"/>
        </w:rPr>
      </w:pPr>
    </w:p>
    <w:p w:rsidR="006F048A" w:rsidRDefault="00784567" w:rsidP="00D764C3">
      <w:pPr>
        <w:pStyle w:val="ad"/>
        <w:numPr>
          <w:ilvl w:val="0"/>
          <w:numId w:val="1"/>
        </w:numPr>
        <w:spacing w:after="0" w:line="360" w:lineRule="auto"/>
        <w:ind w:left="0"/>
        <w:jc w:val="both"/>
        <w:rPr>
          <w:rFonts w:ascii="David" w:hAnsi="David" w:cs="David"/>
          <w:sz w:val="24"/>
          <w:szCs w:val="24"/>
          <w:rtl/>
        </w:rPr>
      </w:pPr>
      <w:r>
        <w:rPr>
          <w:rFonts w:ascii="David" w:hAnsi="David" w:cs="David" w:hint="cs"/>
          <w:sz w:val="24"/>
          <w:szCs w:val="24"/>
          <w:rtl/>
        </w:rPr>
        <w:t xml:space="preserve">עוד נפסק, </w:t>
      </w:r>
      <w:r w:rsidR="006F048A">
        <w:rPr>
          <w:rFonts w:ascii="David" w:hAnsi="David" w:cs="David"/>
          <w:sz w:val="24"/>
          <w:szCs w:val="24"/>
          <w:rtl/>
        </w:rPr>
        <w:t xml:space="preserve">"אם כן, כאשר מדובר במתן סעד הצהרתי שלילי לפיו פלוני אינו חייב דבר לאלמוני בדין, שכל תכליתו היא "להקדים תרופה למכה", הרי שיש להעניקו לעיתים נדירות, ורק אם קיים ״אינטרס לגיטימי״ בקבלת הסעד ההצהרתי, שהתובע נדרש להצביע עליו". ר' פסקה 19 </w:t>
      </w:r>
      <w:r w:rsidR="00143A44">
        <w:rPr>
          <w:rFonts w:ascii="David" w:hAnsi="David" w:cs="David" w:hint="cs"/>
          <w:sz w:val="24"/>
          <w:szCs w:val="24"/>
          <w:rtl/>
        </w:rPr>
        <w:t xml:space="preserve">ב- </w:t>
      </w:r>
      <w:r w:rsidR="006F048A">
        <w:rPr>
          <w:rFonts w:ascii="David" w:hAnsi="David" w:cs="David"/>
          <w:sz w:val="24"/>
          <w:szCs w:val="24"/>
          <w:rtl/>
        </w:rPr>
        <w:t xml:space="preserve">ת"א (מרכז) 54035-03-21 </w:t>
      </w:r>
      <w:r w:rsidR="006F048A">
        <w:rPr>
          <w:rFonts w:ascii="David" w:hAnsi="David" w:cs="David"/>
          <w:b/>
          <w:bCs/>
          <w:sz w:val="24"/>
          <w:szCs w:val="24"/>
          <w:rtl/>
        </w:rPr>
        <w:t>קומטק בע"מ נ' אינספוקוס סיסטמס בע"מ</w:t>
      </w:r>
      <w:r w:rsidR="006F048A">
        <w:rPr>
          <w:rFonts w:ascii="David" w:hAnsi="David" w:cs="David"/>
          <w:sz w:val="24"/>
          <w:szCs w:val="24"/>
          <w:rtl/>
        </w:rPr>
        <w:t xml:space="preserve">, מיום 9.12.22. </w:t>
      </w:r>
    </w:p>
    <w:p w:rsidR="006F048A" w:rsidRDefault="006F048A" w:rsidP="00D764C3">
      <w:pPr>
        <w:pStyle w:val="ad"/>
        <w:spacing w:after="0" w:line="360" w:lineRule="auto"/>
        <w:ind w:left="0"/>
        <w:jc w:val="both"/>
        <w:rPr>
          <w:rFonts w:ascii="David" w:hAnsi="David" w:cs="David"/>
          <w:sz w:val="24"/>
          <w:szCs w:val="24"/>
        </w:rPr>
      </w:pPr>
    </w:p>
    <w:p w:rsidR="006F048A" w:rsidRDefault="00143A44" w:rsidP="00D764C3">
      <w:pPr>
        <w:pStyle w:val="ad"/>
        <w:numPr>
          <w:ilvl w:val="0"/>
          <w:numId w:val="1"/>
        </w:numPr>
        <w:spacing w:after="0" w:line="360" w:lineRule="auto"/>
        <w:ind w:left="0"/>
        <w:jc w:val="both"/>
        <w:rPr>
          <w:rFonts w:ascii="David" w:hAnsi="David" w:cs="David"/>
          <w:sz w:val="24"/>
          <w:szCs w:val="24"/>
          <w:rtl/>
        </w:rPr>
      </w:pPr>
      <w:r>
        <w:rPr>
          <w:rFonts w:ascii="David" w:hAnsi="David" w:cs="David" w:hint="cs"/>
          <w:sz w:val="24"/>
          <w:szCs w:val="24"/>
          <w:rtl/>
        </w:rPr>
        <w:t xml:space="preserve">עיון בכתב התביעה מעלה כי </w:t>
      </w:r>
      <w:r>
        <w:rPr>
          <w:rFonts w:ascii="David" w:hAnsi="David" w:cs="David"/>
          <w:sz w:val="24"/>
          <w:szCs w:val="24"/>
          <w:rtl/>
        </w:rPr>
        <w:t>המשיב לא פירט</w:t>
      </w:r>
      <w:r w:rsidR="006F048A">
        <w:rPr>
          <w:rFonts w:ascii="David" w:hAnsi="David" w:cs="David"/>
          <w:sz w:val="24"/>
          <w:szCs w:val="24"/>
          <w:rtl/>
        </w:rPr>
        <w:t xml:space="preserve"> מהי ה</w:t>
      </w:r>
      <w:r>
        <w:rPr>
          <w:rFonts w:ascii="David" w:hAnsi="David" w:cs="David"/>
          <w:sz w:val="24"/>
          <w:szCs w:val="24"/>
          <w:rtl/>
        </w:rPr>
        <w:t>תכלית המפורשת של ההצהרה המבוקשת</w:t>
      </w:r>
      <w:r>
        <w:rPr>
          <w:rFonts w:ascii="David" w:hAnsi="David" w:cs="David" w:hint="cs"/>
          <w:sz w:val="24"/>
          <w:szCs w:val="24"/>
          <w:rtl/>
        </w:rPr>
        <w:t xml:space="preserve">, לא הניח תשתית משפטית מתאימה ולא נימק על סמך מה מבוקש הסעד הדרסטי והקיצוני לו הוא עתר.  </w:t>
      </w:r>
    </w:p>
    <w:p w:rsidR="006F048A" w:rsidRDefault="006F048A" w:rsidP="00D764C3">
      <w:pPr>
        <w:pStyle w:val="ad"/>
        <w:spacing w:after="0" w:line="360" w:lineRule="auto"/>
        <w:ind w:left="0"/>
        <w:jc w:val="both"/>
        <w:rPr>
          <w:rFonts w:ascii="David" w:hAnsi="David" w:cs="David"/>
          <w:sz w:val="24"/>
          <w:szCs w:val="24"/>
        </w:rPr>
      </w:pPr>
    </w:p>
    <w:p w:rsidR="006F048A" w:rsidRDefault="006F048A" w:rsidP="00D764C3">
      <w:pPr>
        <w:pStyle w:val="ad"/>
        <w:numPr>
          <w:ilvl w:val="0"/>
          <w:numId w:val="1"/>
        </w:numPr>
        <w:spacing w:after="0" w:line="360" w:lineRule="auto"/>
        <w:ind w:left="0"/>
        <w:jc w:val="both"/>
        <w:rPr>
          <w:rFonts w:ascii="David" w:hAnsi="David" w:cs="David"/>
          <w:sz w:val="24"/>
          <w:szCs w:val="24"/>
        </w:rPr>
      </w:pPr>
      <w:r>
        <w:rPr>
          <w:rFonts w:ascii="David" w:hAnsi="David" w:cs="David"/>
          <w:sz w:val="24"/>
          <w:szCs w:val="24"/>
          <w:rtl/>
        </w:rPr>
        <w:t xml:space="preserve">אלא שעיון בפרו' הדיון מיום 30.4.23 </w:t>
      </w:r>
      <w:r w:rsidR="007046E6">
        <w:rPr>
          <w:rFonts w:ascii="David" w:hAnsi="David" w:cs="David" w:hint="cs"/>
          <w:sz w:val="24"/>
          <w:szCs w:val="24"/>
          <w:rtl/>
        </w:rPr>
        <w:t>שהתקי</w:t>
      </w:r>
      <w:r w:rsidR="00784567">
        <w:rPr>
          <w:rFonts w:ascii="David" w:hAnsi="David" w:cs="David" w:hint="cs"/>
          <w:sz w:val="24"/>
          <w:szCs w:val="24"/>
          <w:rtl/>
        </w:rPr>
        <w:t xml:space="preserve">ים בתביעה הרכושית בתיק הקשור, </w:t>
      </w:r>
      <w:r>
        <w:rPr>
          <w:rFonts w:ascii="David" w:hAnsi="David" w:cs="David"/>
          <w:sz w:val="24"/>
          <w:szCs w:val="24"/>
          <w:rtl/>
        </w:rPr>
        <w:t xml:space="preserve">מגלה לנו את מה שהחסיר המשיב בכתב התביעה, </w:t>
      </w:r>
      <w:r w:rsidR="007046E6">
        <w:rPr>
          <w:rFonts w:ascii="David" w:hAnsi="David" w:cs="David" w:hint="cs"/>
          <w:sz w:val="24"/>
          <w:szCs w:val="24"/>
          <w:rtl/>
        </w:rPr>
        <w:t>כפי שנטען על-ידו שם</w:t>
      </w:r>
      <w:r>
        <w:rPr>
          <w:rFonts w:ascii="David" w:hAnsi="David" w:cs="David"/>
          <w:sz w:val="24"/>
          <w:szCs w:val="24"/>
          <w:rtl/>
        </w:rPr>
        <w:t>: "אין הליך בבית הדין הרבני. אבל ההליך שיש בבית הדין הרבני הפוך, הוא ביטל. הוא ביטל מצד השלום בית והשאיר את זה רק בגלל מזונות אישה ואין תיק מזונות אישה בבית הדין, אז לכן למעשה אין צו מדור ספציפי". ר' עמ' 12, שו' 18-20.</w:t>
      </w:r>
    </w:p>
    <w:p w:rsidR="007046E6" w:rsidRPr="007046E6" w:rsidRDefault="007046E6" w:rsidP="00D764C3">
      <w:pPr>
        <w:pStyle w:val="ad"/>
        <w:spacing w:after="0" w:line="360" w:lineRule="auto"/>
        <w:ind w:left="0"/>
        <w:jc w:val="both"/>
        <w:rPr>
          <w:rFonts w:ascii="David" w:hAnsi="David" w:cs="David"/>
          <w:sz w:val="24"/>
          <w:szCs w:val="24"/>
          <w:rtl/>
        </w:rPr>
      </w:pPr>
    </w:p>
    <w:p w:rsidR="007046E6" w:rsidRDefault="007046E6" w:rsidP="00D764C3">
      <w:pPr>
        <w:pStyle w:val="ad"/>
        <w:numPr>
          <w:ilvl w:val="0"/>
          <w:numId w:val="1"/>
        </w:numPr>
        <w:spacing w:after="0" w:line="360" w:lineRule="auto"/>
        <w:ind w:left="0"/>
        <w:jc w:val="both"/>
        <w:rPr>
          <w:rFonts w:ascii="David" w:hAnsi="David" w:cs="David"/>
          <w:sz w:val="24"/>
          <w:szCs w:val="24"/>
          <w:rtl/>
        </w:rPr>
      </w:pPr>
      <w:r>
        <w:rPr>
          <w:rFonts w:ascii="David" w:hAnsi="David" w:cs="David" w:hint="cs"/>
          <w:sz w:val="24"/>
          <w:szCs w:val="24"/>
          <w:rtl/>
        </w:rPr>
        <w:t xml:space="preserve">הנה כי כן, תכליתו של הסעד ההצהרתי השלילי המבוקש, הוא לחסום את המבקשת מלעתור לפסיקת דמי מזונות אישה. </w:t>
      </w:r>
    </w:p>
    <w:p w:rsidR="006F048A" w:rsidRDefault="006F048A" w:rsidP="00D764C3">
      <w:pPr>
        <w:pStyle w:val="ad"/>
        <w:spacing w:after="0" w:line="360" w:lineRule="auto"/>
        <w:ind w:left="0"/>
        <w:jc w:val="both"/>
        <w:rPr>
          <w:rFonts w:ascii="David" w:hAnsi="David" w:cs="David"/>
          <w:sz w:val="24"/>
          <w:szCs w:val="24"/>
          <w:rtl/>
        </w:rPr>
      </w:pPr>
    </w:p>
    <w:p w:rsidR="006F048A" w:rsidRDefault="006F048A" w:rsidP="00D764C3">
      <w:pPr>
        <w:pStyle w:val="ad"/>
        <w:numPr>
          <w:ilvl w:val="0"/>
          <w:numId w:val="1"/>
        </w:numPr>
        <w:spacing w:after="0" w:line="360" w:lineRule="auto"/>
        <w:ind w:left="0"/>
        <w:jc w:val="both"/>
        <w:rPr>
          <w:rFonts w:ascii="David" w:hAnsi="David" w:cs="David"/>
          <w:sz w:val="24"/>
          <w:szCs w:val="24"/>
        </w:rPr>
      </w:pPr>
      <w:r>
        <w:rPr>
          <w:rFonts w:ascii="David" w:hAnsi="David" w:cs="David"/>
          <w:sz w:val="24"/>
          <w:szCs w:val="24"/>
          <w:rtl/>
        </w:rPr>
        <w:t>מדובר</w:t>
      </w:r>
      <w:r w:rsidR="00F40BEB">
        <w:rPr>
          <w:rFonts w:ascii="David" w:hAnsi="David" w:cs="David" w:hint="cs"/>
          <w:sz w:val="24"/>
          <w:szCs w:val="24"/>
          <w:rtl/>
        </w:rPr>
        <w:t xml:space="preserve"> אפוא</w:t>
      </w:r>
      <w:r>
        <w:rPr>
          <w:rFonts w:ascii="David" w:hAnsi="David" w:cs="David"/>
          <w:sz w:val="24"/>
          <w:szCs w:val="24"/>
          <w:rtl/>
        </w:rPr>
        <w:t xml:space="preserve"> </w:t>
      </w:r>
      <w:r w:rsidR="00F40BEB">
        <w:rPr>
          <w:rFonts w:ascii="David" w:hAnsi="David" w:cs="David" w:hint="cs"/>
          <w:sz w:val="24"/>
          <w:szCs w:val="24"/>
          <w:rtl/>
        </w:rPr>
        <w:t xml:space="preserve">במהלך שהוא </w:t>
      </w:r>
      <w:r>
        <w:rPr>
          <w:rFonts w:ascii="David" w:hAnsi="David" w:cs="David"/>
          <w:sz w:val="24"/>
          <w:szCs w:val="24"/>
          <w:rtl/>
        </w:rPr>
        <w:t>מעין סוג של תקיפה עקיפה של החלטה שיפוטית, כשהטענה שבפי המשיב היא, הלכה למעשה, שצו למדור ספציפי ניתן בבית הדין הרבני בחוסר סמכות. אלא שאין מקום להעלות טענה מסוג זה ב</w:t>
      </w:r>
      <w:r w:rsidR="00F40BEB">
        <w:rPr>
          <w:rFonts w:ascii="David" w:hAnsi="David" w:cs="David" w:hint="cs"/>
          <w:sz w:val="24"/>
          <w:szCs w:val="24"/>
          <w:rtl/>
        </w:rPr>
        <w:t xml:space="preserve">מעין </w:t>
      </w:r>
      <w:r>
        <w:rPr>
          <w:rFonts w:ascii="David" w:hAnsi="David" w:cs="David"/>
          <w:sz w:val="24"/>
          <w:szCs w:val="24"/>
          <w:rtl/>
        </w:rPr>
        <w:t xml:space="preserve">תקיפה עקיפה. </w:t>
      </w:r>
    </w:p>
    <w:p w:rsidR="006F048A" w:rsidRPr="006F048A" w:rsidRDefault="006F048A" w:rsidP="00D764C3">
      <w:pPr>
        <w:pStyle w:val="ad"/>
        <w:spacing w:after="0" w:line="360" w:lineRule="auto"/>
        <w:ind w:left="0"/>
        <w:jc w:val="both"/>
        <w:rPr>
          <w:rFonts w:ascii="David" w:hAnsi="David" w:cs="David"/>
          <w:sz w:val="24"/>
          <w:szCs w:val="24"/>
          <w:rtl/>
        </w:rPr>
      </w:pPr>
    </w:p>
    <w:p w:rsidR="00F40BEB" w:rsidRDefault="0095691F" w:rsidP="00D764C3">
      <w:pPr>
        <w:pStyle w:val="ad"/>
        <w:numPr>
          <w:ilvl w:val="0"/>
          <w:numId w:val="1"/>
        </w:numPr>
        <w:spacing w:after="0" w:line="360" w:lineRule="auto"/>
        <w:ind w:left="0"/>
        <w:jc w:val="both"/>
        <w:rPr>
          <w:rFonts w:ascii="David" w:hAnsi="David" w:cs="David"/>
          <w:sz w:val="24"/>
          <w:szCs w:val="24"/>
        </w:rPr>
      </w:pPr>
      <w:r>
        <w:rPr>
          <w:rFonts w:ascii="David" w:hAnsi="David" w:cs="David"/>
          <w:sz w:val="24"/>
          <w:szCs w:val="24"/>
          <w:rtl/>
        </w:rPr>
        <w:t xml:space="preserve">קביעה </w:t>
      </w:r>
      <w:r w:rsidR="00F40BEB">
        <w:rPr>
          <w:rFonts w:ascii="David" w:hAnsi="David" w:cs="David" w:hint="cs"/>
          <w:sz w:val="24"/>
          <w:szCs w:val="24"/>
          <w:rtl/>
        </w:rPr>
        <w:t xml:space="preserve">כפי המבוקשת </w:t>
      </w:r>
      <w:r>
        <w:rPr>
          <w:rFonts w:ascii="David" w:hAnsi="David" w:cs="David"/>
          <w:sz w:val="24"/>
          <w:szCs w:val="24"/>
          <w:rtl/>
        </w:rPr>
        <w:t xml:space="preserve">תסתור חזיתית את הקביעה בדבר מדור ספציפי שמקורו בהכרח בזכות האישה למזונותיה. </w:t>
      </w:r>
      <w:r>
        <w:rPr>
          <w:rFonts w:ascii="David" w:hAnsi="David" w:cs="David" w:hint="cs"/>
          <w:sz w:val="24"/>
          <w:szCs w:val="24"/>
          <w:rtl/>
        </w:rPr>
        <w:t xml:space="preserve">קרי, קיים זה כבר מעשה בית-דין בו נקבע שהמבקשת זכאית למזונות אישה ומדובר במעשה עשוי. יוטעם, כי </w:t>
      </w:r>
      <w:r>
        <w:rPr>
          <w:rFonts w:ascii="David" w:hAnsi="David" w:cs="David"/>
          <w:sz w:val="24"/>
          <w:szCs w:val="24"/>
          <w:rtl/>
        </w:rPr>
        <w:t xml:space="preserve">גם אם הצו ניתן במסגרת הליך שלום בית אין בכך רבותא.  </w:t>
      </w:r>
    </w:p>
    <w:p w:rsidR="00F40BEB" w:rsidRPr="00F40BEB" w:rsidRDefault="00F40BEB" w:rsidP="00D764C3">
      <w:pPr>
        <w:pStyle w:val="ad"/>
        <w:spacing w:after="0" w:line="360" w:lineRule="auto"/>
        <w:ind w:left="0"/>
        <w:jc w:val="both"/>
        <w:rPr>
          <w:rFonts w:ascii="David" w:hAnsi="David" w:cs="David"/>
          <w:sz w:val="24"/>
          <w:szCs w:val="24"/>
          <w:rtl/>
        </w:rPr>
      </w:pPr>
    </w:p>
    <w:p w:rsidR="0095691F" w:rsidRPr="00F40BEB" w:rsidRDefault="00F40BEB" w:rsidP="00D764C3">
      <w:pPr>
        <w:pStyle w:val="ad"/>
        <w:numPr>
          <w:ilvl w:val="0"/>
          <w:numId w:val="1"/>
        </w:numPr>
        <w:spacing w:after="0" w:line="360" w:lineRule="auto"/>
        <w:ind w:left="0"/>
        <w:jc w:val="both"/>
        <w:rPr>
          <w:rFonts w:ascii="David" w:hAnsi="David" w:cs="David"/>
          <w:sz w:val="24"/>
          <w:szCs w:val="24"/>
        </w:rPr>
      </w:pPr>
      <w:r>
        <w:rPr>
          <w:rFonts w:ascii="David" w:hAnsi="David" w:cs="David" w:hint="cs"/>
          <w:sz w:val="24"/>
          <w:szCs w:val="24"/>
          <w:rtl/>
        </w:rPr>
        <w:t>על יסוד אלה, ול</w:t>
      </w:r>
      <w:r>
        <w:rPr>
          <w:rFonts w:ascii="David" w:hAnsi="David" w:cs="David"/>
          <w:sz w:val="24"/>
          <w:szCs w:val="24"/>
          <w:rtl/>
        </w:rPr>
        <w:t>אחר עיון בפסיקה ובמקרים החריגים שבהם נעתר בית המשפט לסעד הצהרתי שלילי ויצר מעשה בית-דין אשר חסם והשתיק</w:t>
      </w:r>
      <w:r w:rsidR="00D764C3">
        <w:rPr>
          <w:rFonts w:ascii="David" w:hAnsi="David" w:cs="David" w:hint="cs"/>
          <w:sz w:val="24"/>
          <w:szCs w:val="24"/>
          <w:rtl/>
        </w:rPr>
        <w:t xml:space="preserve"> את הצד שכנגד</w:t>
      </w:r>
      <w:r>
        <w:rPr>
          <w:rFonts w:ascii="David" w:hAnsi="David" w:cs="David"/>
          <w:sz w:val="24"/>
          <w:szCs w:val="24"/>
          <w:rtl/>
        </w:rPr>
        <w:t>, ההתרשמות היא שמקרה זה אינו נמנה על אותם חריגים</w:t>
      </w:r>
      <w:r>
        <w:rPr>
          <w:rFonts w:ascii="David" w:hAnsi="David" w:cs="David" w:hint="cs"/>
          <w:sz w:val="24"/>
          <w:szCs w:val="24"/>
          <w:rtl/>
        </w:rPr>
        <w:t>, כפי שיפורט להלן.</w:t>
      </w:r>
      <w:r>
        <w:rPr>
          <w:rFonts w:ascii="David" w:hAnsi="David" w:cs="David"/>
          <w:sz w:val="24"/>
          <w:szCs w:val="24"/>
          <w:rtl/>
        </w:rPr>
        <w:t xml:space="preserve"> ר' לדוג' </w:t>
      </w:r>
      <w:r>
        <w:rPr>
          <w:rFonts w:ascii="David" w:hAnsi="David" w:cs="David"/>
          <w:b/>
          <w:bCs/>
          <w:sz w:val="24"/>
          <w:szCs w:val="24"/>
          <w:rtl/>
        </w:rPr>
        <w:t xml:space="preserve">ע"א 3441/01 </w:t>
      </w:r>
      <w:r>
        <w:rPr>
          <w:rFonts w:ascii="David" w:hAnsi="David" w:cs="David"/>
          <w:sz w:val="24"/>
          <w:szCs w:val="24"/>
          <w:rtl/>
        </w:rPr>
        <w:t>פלוני נ' פלונית, פ"ד נח(3)1 (2004)</w:t>
      </w:r>
      <w:r>
        <w:rPr>
          <w:rFonts w:ascii="David" w:hAnsi="David" w:cs="David" w:hint="cs"/>
          <w:sz w:val="24"/>
          <w:szCs w:val="24"/>
          <w:rtl/>
        </w:rPr>
        <w:t xml:space="preserve">. </w:t>
      </w:r>
      <w:r w:rsidRPr="00F40BEB">
        <w:rPr>
          <w:rFonts w:ascii="David" w:hAnsi="David" w:cs="David"/>
          <w:sz w:val="24"/>
          <w:szCs w:val="24"/>
          <w:rtl/>
        </w:rPr>
        <w:t>הסיכוי</w:t>
      </w:r>
      <w:r>
        <w:rPr>
          <w:rFonts w:ascii="David" w:hAnsi="David" w:cs="David" w:hint="cs"/>
          <w:sz w:val="24"/>
          <w:szCs w:val="24"/>
          <w:rtl/>
        </w:rPr>
        <w:t xml:space="preserve"> אפוא</w:t>
      </w:r>
      <w:r w:rsidRPr="00F40BEB">
        <w:rPr>
          <w:rFonts w:ascii="David" w:hAnsi="David" w:cs="David" w:hint="cs"/>
          <w:sz w:val="24"/>
          <w:szCs w:val="24"/>
          <w:rtl/>
        </w:rPr>
        <w:t xml:space="preserve"> </w:t>
      </w:r>
      <w:r w:rsidRPr="00F40BEB">
        <w:rPr>
          <w:rFonts w:ascii="David" w:hAnsi="David" w:cs="David"/>
          <w:sz w:val="24"/>
          <w:szCs w:val="24"/>
          <w:rtl/>
        </w:rPr>
        <w:t>שבית המשפט ייעתר למבוקש ויקבע שהמבקשת אינה זכאית למזונות אישה, הוא אפסי</w:t>
      </w:r>
      <w:r w:rsidRPr="00F40BEB">
        <w:rPr>
          <w:rFonts w:ascii="David" w:hAnsi="David" w:cs="David" w:hint="cs"/>
          <w:sz w:val="24"/>
          <w:szCs w:val="24"/>
          <w:rtl/>
        </w:rPr>
        <w:t xml:space="preserve">. </w:t>
      </w:r>
    </w:p>
    <w:p w:rsidR="0095691F" w:rsidRPr="0095691F" w:rsidRDefault="0095691F" w:rsidP="00D764C3">
      <w:pPr>
        <w:pStyle w:val="ad"/>
        <w:spacing w:after="0" w:line="360" w:lineRule="auto"/>
        <w:ind w:left="0"/>
        <w:jc w:val="both"/>
        <w:rPr>
          <w:rFonts w:ascii="David" w:hAnsi="David" w:cs="David"/>
          <w:sz w:val="24"/>
          <w:szCs w:val="24"/>
          <w:rtl/>
        </w:rPr>
      </w:pPr>
    </w:p>
    <w:p w:rsidR="006F048A" w:rsidRDefault="007046E6" w:rsidP="00D764C3">
      <w:pPr>
        <w:pStyle w:val="ad"/>
        <w:numPr>
          <w:ilvl w:val="0"/>
          <w:numId w:val="1"/>
        </w:numPr>
        <w:spacing w:after="0" w:line="360" w:lineRule="auto"/>
        <w:ind w:left="0"/>
        <w:jc w:val="both"/>
        <w:rPr>
          <w:rFonts w:ascii="David" w:hAnsi="David" w:cs="David"/>
          <w:sz w:val="24"/>
          <w:szCs w:val="24"/>
          <w:rtl/>
        </w:rPr>
      </w:pPr>
      <w:r>
        <w:rPr>
          <w:rFonts w:ascii="David" w:hAnsi="David" w:cs="David" w:hint="cs"/>
          <w:sz w:val="24"/>
          <w:szCs w:val="24"/>
          <w:rtl/>
        </w:rPr>
        <w:t xml:space="preserve">אמנם </w:t>
      </w:r>
      <w:r w:rsidR="00E01C9C">
        <w:rPr>
          <w:rFonts w:ascii="David" w:hAnsi="David" w:cs="David" w:hint="cs"/>
          <w:sz w:val="24"/>
          <w:szCs w:val="24"/>
          <w:rtl/>
        </w:rPr>
        <w:t xml:space="preserve">עצם קיומו של צו </w:t>
      </w:r>
      <w:r w:rsidR="006F048A">
        <w:rPr>
          <w:rFonts w:ascii="David" w:hAnsi="David" w:cs="David" w:hint="cs"/>
          <w:sz w:val="24"/>
          <w:szCs w:val="24"/>
          <w:rtl/>
        </w:rPr>
        <w:t xml:space="preserve">מדור ספציפי אינו מאפשר את סיום ההליכים בין הצדדים, </w:t>
      </w:r>
      <w:r w:rsidR="00E01C9C">
        <w:rPr>
          <w:rFonts w:ascii="David" w:hAnsi="David" w:cs="David" w:hint="cs"/>
          <w:sz w:val="24"/>
          <w:szCs w:val="24"/>
          <w:rtl/>
        </w:rPr>
        <w:t xml:space="preserve">הליכים שמשכם למצער כ-10 שנים, </w:t>
      </w:r>
      <w:r w:rsidR="006F048A">
        <w:rPr>
          <w:rFonts w:ascii="David" w:hAnsi="David" w:cs="David" w:hint="cs"/>
          <w:sz w:val="24"/>
          <w:szCs w:val="24"/>
          <w:rtl/>
        </w:rPr>
        <w:t>אלא ש</w:t>
      </w:r>
      <w:r w:rsidR="006F048A">
        <w:rPr>
          <w:rFonts w:ascii="David" w:hAnsi="David" w:cs="David"/>
          <w:sz w:val="24"/>
          <w:szCs w:val="24"/>
          <w:rtl/>
        </w:rPr>
        <w:t>טענת חוסר סמכות או כל טענה אחרת שעניינה ביטול צו מדור ספציפי יש להעלות במסגרת משפטית ודיונית מתאימה, כשתובענה למתן פסק-דין הצהרתי ש</w:t>
      </w:r>
      <w:r>
        <w:rPr>
          <w:rFonts w:ascii="David" w:hAnsi="David" w:cs="David"/>
          <w:sz w:val="24"/>
          <w:szCs w:val="24"/>
          <w:rtl/>
        </w:rPr>
        <w:t>לילי כגון דא, אינה נמנית עליה</w:t>
      </w:r>
      <w:r w:rsidR="0095691F">
        <w:rPr>
          <w:rFonts w:ascii="David" w:hAnsi="David" w:cs="David" w:hint="cs"/>
          <w:sz w:val="24"/>
          <w:szCs w:val="24"/>
          <w:rtl/>
        </w:rPr>
        <w:t xml:space="preserve">. </w:t>
      </w:r>
    </w:p>
    <w:p w:rsidR="00A0768A" w:rsidRPr="0095691F" w:rsidRDefault="00A0768A" w:rsidP="00D764C3">
      <w:pPr>
        <w:spacing w:line="360" w:lineRule="auto"/>
        <w:jc w:val="both"/>
        <w:rPr>
          <w:rFonts w:ascii="David" w:hAnsi="David"/>
          <w:rtl/>
        </w:rPr>
      </w:pPr>
    </w:p>
    <w:p w:rsidR="00A0768A" w:rsidRDefault="00A0768A" w:rsidP="00D764C3">
      <w:pPr>
        <w:pStyle w:val="ad"/>
        <w:numPr>
          <w:ilvl w:val="0"/>
          <w:numId w:val="1"/>
        </w:numPr>
        <w:spacing w:after="0" w:line="360" w:lineRule="auto"/>
        <w:ind w:left="0"/>
        <w:jc w:val="both"/>
        <w:rPr>
          <w:rFonts w:ascii="David" w:hAnsi="David" w:cs="David"/>
          <w:sz w:val="24"/>
          <w:szCs w:val="24"/>
        </w:rPr>
      </w:pPr>
      <w:r>
        <w:rPr>
          <w:rFonts w:ascii="David" w:hAnsi="David" w:cs="David" w:hint="cs"/>
          <w:sz w:val="24"/>
          <w:szCs w:val="24"/>
          <w:rtl/>
        </w:rPr>
        <w:t>עוד נמצא לציין, כי עצם הימנעותו של המשיב לפרט ולנמק מפורשות את הצורך בסעד לו הוא עתר במסגרת כתב הטענות, נרא</w:t>
      </w:r>
      <w:r w:rsidR="00FB0EA0">
        <w:rPr>
          <w:rFonts w:ascii="David" w:hAnsi="David" w:cs="David" w:hint="cs"/>
          <w:sz w:val="24"/>
          <w:szCs w:val="24"/>
          <w:rtl/>
        </w:rPr>
        <w:t>י</w:t>
      </w:r>
      <w:r>
        <w:rPr>
          <w:rFonts w:ascii="David" w:hAnsi="David" w:cs="David" w:hint="cs"/>
          <w:sz w:val="24"/>
          <w:szCs w:val="24"/>
          <w:rtl/>
        </w:rPr>
        <w:t xml:space="preserve">ת, על פניו, בזהירות המתבקשת, כהתנהלות חסרת תום-לב העולה עד כדי שימוש לרעה בהליכי בית משפט. </w:t>
      </w:r>
    </w:p>
    <w:p w:rsidR="006F048A" w:rsidRDefault="006F048A" w:rsidP="00D764C3">
      <w:pPr>
        <w:pStyle w:val="ad"/>
        <w:spacing w:after="0" w:line="360" w:lineRule="auto"/>
        <w:ind w:left="0"/>
        <w:jc w:val="both"/>
        <w:rPr>
          <w:rFonts w:ascii="David" w:hAnsi="David" w:cs="David"/>
          <w:sz w:val="24"/>
          <w:szCs w:val="24"/>
          <w:rtl/>
        </w:rPr>
      </w:pPr>
    </w:p>
    <w:p w:rsidR="006F048A" w:rsidRDefault="006F048A" w:rsidP="00D764C3">
      <w:pPr>
        <w:pStyle w:val="ad"/>
        <w:numPr>
          <w:ilvl w:val="0"/>
          <w:numId w:val="1"/>
        </w:numPr>
        <w:spacing w:after="0" w:line="360" w:lineRule="auto"/>
        <w:ind w:left="0"/>
        <w:jc w:val="both"/>
        <w:rPr>
          <w:rFonts w:ascii="David" w:hAnsi="David" w:cs="David"/>
          <w:sz w:val="24"/>
          <w:szCs w:val="24"/>
          <w:rtl/>
        </w:rPr>
      </w:pPr>
      <w:r>
        <w:rPr>
          <w:rFonts w:ascii="David" w:hAnsi="David" w:cs="David"/>
          <w:sz w:val="24"/>
          <w:szCs w:val="24"/>
          <w:rtl/>
        </w:rPr>
        <w:t>מכל אחד מהנימוקים אשר פור</w:t>
      </w:r>
      <w:r w:rsidR="0095691F">
        <w:rPr>
          <w:rFonts w:ascii="David" w:hAnsi="David" w:cs="David"/>
          <w:sz w:val="24"/>
          <w:szCs w:val="24"/>
          <w:rtl/>
        </w:rPr>
        <w:t>טו לעיל, נמצא</w:t>
      </w:r>
      <w:r w:rsidR="0095691F">
        <w:rPr>
          <w:rFonts w:ascii="David" w:hAnsi="David" w:cs="David" w:hint="cs"/>
          <w:sz w:val="24"/>
          <w:szCs w:val="24"/>
          <w:rtl/>
        </w:rPr>
        <w:t>ה הצדקה להיעתר לבקשה ו</w:t>
      </w:r>
      <w:r>
        <w:rPr>
          <w:rFonts w:ascii="David" w:hAnsi="David" w:cs="David"/>
          <w:sz w:val="24"/>
          <w:szCs w:val="24"/>
          <w:rtl/>
        </w:rPr>
        <w:t>להורות על מחיקת ההליך.</w:t>
      </w:r>
    </w:p>
    <w:p w:rsidR="006F048A" w:rsidRDefault="006F048A" w:rsidP="00D764C3">
      <w:pPr>
        <w:pStyle w:val="ad"/>
        <w:spacing w:after="0" w:line="360" w:lineRule="auto"/>
        <w:ind w:left="0"/>
        <w:jc w:val="both"/>
        <w:rPr>
          <w:rFonts w:ascii="David" w:hAnsi="David" w:cs="David"/>
          <w:sz w:val="24"/>
          <w:szCs w:val="24"/>
        </w:rPr>
      </w:pPr>
    </w:p>
    <w:p w:rsidR="006F048A" w:rsidRDefault="006F048A" w:rsidP="00D764C3">
      <w:pPr>
        <w:pStyle w:val="ad"/>
        <w:numPr>
          <w:ilvl w:val="0"/>
          <w:numId w:val="1"/>
        </w:numPr>
        <w:spacing w:after="0" w:line="360" w:lineRule="auto"/>
        <w:ind w:left="0"/>
        <w:jc w:val="both"/>
        <w:rPr>
          <w:rFonts w:ascii="David" w:hAnsi="David" w:cs="David"/>
          <w:sz w:val="24"/>
          <w:szCs w:val="24"/>
        </w:rPr>
      </w:pPr>
      <w:r>
        <w:rPr>
          <w:rFonts w:ascii="David" w:hAnsi="David" w:cs="David"/>
          <w:sz w:val="24"/>
          <w:szCs w:val="24"/>
          <w:rtl/>
        </w:rPr>
        <w:t>המשיב יישא בהוצאות המבקשת בסך 2,500 ₪ אשר ישולם לה בתוך 30 ימים. בקביעת סכום ההוצאות נלקחו בחשבון בין היתר סוג ההליך, אופי הטענות והתוצאה, זאת בהתאם להוראת תקנות 53, 151(ב) ו-153(ג) לתקנות ותקנה 18(ג) לתקנות בית משפט לעניני משפחה (סדרי דין) התשפ"א-2020.</w:t>
      </w:r>
    </w:p>
    <w:p w:rsidR="00F40BEB" w:rsidRPr="00F40BEB" w:rsidRDefault="00F40BEB" w:rsidP="00D764C3">
      <w:pPr>
        <w:pStyle w:val="ad"/>
        <w:spacing w:after="0" w:line="360" w:lineRule="auto"/>
        <w:ind w:left="0"/>
        <w:jc w:val="both"/>
        <w:rPr>
          <w:rFonts w:ascii="David" w:hAnsi="David" w:cs="David"/>
          <w:sz w:val="24"/>
          <w:szCs w:val="24"/>
          <w:rtl/>
        </w:rPr>
      </w:pPr>
    </w:p>
    <w:p w:rsidR="00F40BEB" w:rsidRDefault="00F40BEB" w:rsidP="00D764C3">
      <w:pPr>
        <w:pStyle w:val="ad"/>
        <w:spacing w:after="0" w:line="360" w:lineRule="auto"/>
        <w:ind w:left="0"/>
        <w:jc w:val="both"/>
        <w:rPr>
          <w:rFonts w:ascii="David" w:hAnsi="David" w:cs="David"/>
          <w:sz w:val="24"/>
          <w:szCs w:val="24"/>
        </w:rPr>
      </w:pPr>
      <w:r>
        <w:rPr>
          <w:rFonts w:ascii="David" w:hAnsi="David" w:cs="David" w:hint="cs"/>
          <w:sz w:val="24"/>
          <w:szCs w:val="24"/>
          <w:rtl/>
        </w:rPr>
        <w:t xml:space="preserve">ניתן לפרסם החלטה זו לאחר השמטת פרטים מזהים. </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ה'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יוני 2023</w:t>
          </w:r>
        </w:sdtContent>
      </w:sdt>
      <w:r w:rsidR="00005C8B">
        <w:rPr>
          <w:rFonts w:ascii="Arial" w:hAnsi="Arial"/>
          <w:noProof w:val="0"/>
          <w:rtl/>
        </w:rPr>
        <w:t>, בהעדר הצדדים.</w:t>
      </w:r>
    </w:p>
    <w:p w:rsidR="00C43648" w:rsidRDefault="00D8079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Pr="0002283F" w:rsidRDefault="00BD6531" w:rsidP="0002283F">
      <w:pPr>
        <w:tabs>
          <w:tab w:val="left" w:pos="2553"/>
        </w:tabs>
        <w:rPr>
          <w:rtl/>
        </w:rPr>
      </w:pPr>
      <w:r>
        <w:rPr>
          <w:rFonts w:hint="cs"/>
          <w:rtl/>
        </w:rPr>
        <w:tab/>
      </w:r>
      <w:r>
        <w:rPr>
          <w:rFonts w:hint="cs"/>
          <w:rtl/>
        </w:rPr>
        <w:tab/>
      </w:r>
      <w:r>
        <w:rPr>
          <w:rFonts w:hint="cs"/>
          <w:rtl/>
        </w:rPr>
        <w:tab/>
      </w:r>
      <w:r>
        <w:rPr>
          <w:rFonts w:hint="cs"/>
          <w:rtl/>
        </w:rPr>
        <w:tab/>
        <w:t xml:space="preserve">        </w:t>
      </w:r>
      <w:sdt>
        <w:sdtPr>
          <w:rPr>
            <w:rtl/>
          </w:rPr>
          <w:alias w:val="MergeField"/>
          <w:tag w:val="1237"/>
          <w:id w:val="-172885453"/>
        </w:sdtPr>
        <w:sdtEndPr/>
        <w:sdtContent>
          <w:r w:rsidR="00444AA9">
            <w:drawing>
              <wp:inline distT="0" distB="0" distL="0" distR="0" wp14:editId="50D07946">
                <wp:extent cx="1092708"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92708" cy="457200"/>
                        </a:xfrm>
                        <a:prstGeom prst="rect">
                          <a:avLst/>
                        </a:prstGeom>
                      </pic:spPr>
                    </pic:pic>
                  </a:graphicData>
                </a:graphic>
              </wp:inline>
            </w:drawing>
          </w:r>
        </w:sdtContent>
      </w:sdt>
    </w:p>
    <w:sectPr w:rsidR="00694556" w:rsidRPr="0002283F"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799" w:rsidRDefault="00D80799">
      <w:r>
        <w:separator/>
      </w:r>
    </w:p>
  </w:endnote>
  <w:endnote w:type="continuationSeparator" w:id="0">
    <w:p w:rsidR="00D80799" w:rsidRDefault="00D80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16" w:rsidRDefault="0036491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C382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C3822">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16" w:rsidRDefault="0036491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799" w:rsidRDefault="00D80799">
      <w:r>
        <w:separator/>
      </w:r>
    </w:p>
  </w:footnote>
  <w:footnote w:type="continuationSeparator" w:id="0">
    <w:p w:rsidR="00D80799" w:rsidRDefault="00D80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16" w:rsidRDefault="0036491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95691F" w:rsidRDefault="00D80799" w:rsidP="0002283F">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14102-05-23</w:t>
              </w:r>
            </w:sdtContent>
          </w:sdt>
          <w:r w:rsidR="00005C8B">
            <w:rPr>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916" w:rsidRDefault="003649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531223"/>
    <w:multiLevelType w:val="hybridMultilevel"/>
    <w:tmpl w:val="FCCE2E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83F"/>
    <w:rsid w:val="000229A1"/>
    <w:rsid w:val="00046D83"/>
    <w:rsid w:val="000529D2"/>
    <w:rsid w:val="000564AB"/>
    <w:rsid w:val="00064FBD"/>
    <w:rsid w:val="00082AB2"/>
    <w:rsid w:val="000906FE"/>
    <w:rsid w:val="00096AF7"/>
    <w:rsid w:val="000B344B"/>
    <w:rsid w:val="000C3B0F"/>
    <w:rsid w:val="000C3B60"/>
    <w:rsid w:val="000E0DD2"/>
    <w:rsid w:val="000E116E"/>
    <w:rsid w:val="000E3AF1"/>
    <w:rsid w:val="000F0BC8"/>
    <w:rsid w:val="000F0DD6"/>
    <w:rsid w:val="000F15EC"/>
    <w:rsid w:val="00107E6D"/>
    <w:rsid w:val="0011194C"/>
    <w:rsid w:val="0011424C"/>
    <w:rsid w:val="001173C6"/>
    <w:rsid w:val="001367BC"/>
    <w:rsid w:val="00143A44"/>
    <w:rsid w:val="00144D2A"/>
    <w:rsid w:val="0014653E"/>
    <w:rsid w:val="00180519"/>
    <w:rsid w:val="00191C82"/>
    <w:rsid w:val="001C4003"/>
    <w:rsid w:val="001D4DBF"/>
    <w:rsid w:val="001E75CA"/>
    <w:rsid w:val="002265FF"/>
    <w:rsid w:val="00234943"/>
    <w:rsid w:val="00271B56"/>
    <w:rsid w:val="002C344E"/>
    <w:rsid w:val="002C3F4A"/>
    <w:rsid w:val="002E75E9"/>
    <w:rsid w:val="00307A6A"/>
    <w:rsid w:val="00307C40"/>
    <w:rsid w:val="00320433"/>
    <w:rsid w:val="003230C7"/>
    <w:rsid w:val="00327E50"/>
    <w:rsid w:val="0033597A"/>
    <w:rsid w:val="00343D89"/>
    <w:rsid w:val="00362612"/>
    <w:rsid w:val="00364916"/>
    <w:rsid w:val="0036743F"/>
    <w:rsid w:val="003715DD"/>
    <w:rsid w:val="003823E0"/>
    <w:rsid w:val="003A4521"/>
    <w:rsid w:val="003D1C8C"/>
    <w:rsid w:val="0040096C"/>
    <w:rsid w:val="00414F1F"/>
    <w:rsid w:val="0043125D"/>
    <w:rsid w:val="0043502B"/>
    <w:rsid w:val="004443AC"/>
    <w:rsid w:val="00444AA9"/>
    <w:rsid w:val="00444B02"/>
    <w:rsid w:val="00451E28"/>
    <w:rsid w:val="00462C62"/>
    <w:rsid w:val="00465D36"/>
    <w:rsid w:val="004B3627"/>
    <w:rsid w:val="004C17EE"/>
    <w:rsid w:val="004C4BDF"/>
    <w:rsid w:val="004D1187"/>
    <w:rsid w:val="004D3AA0"/>
    <w:rsid w:val="004E1987"/>
    <w:rsid w:val="004E2E15"/>
    <w:rsid w:val="004E6E3C"/>
    <w:rsid w:val="00520898"/>
    <w:rsid w:val="005228F8"/>
    <w:rsid w:val="00523621"/>
    <w:rsid w:val="00524986"/>
    <w:rsid w:val="005268F6"/>
    <w:rsid w:val="00534284"/>
    <w:rsid w:val="00547DB7"/>
    <w:rsid w:val="00584422"/>
    <w:rsid w:val="005C3822"/>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048A"/>
    <w:rsid w:val="006F56E6"/>
    <w:rsid w:val="007046E6"/>
    <w:rsid w:val="00704EDA"/>
    <w:rsid w:val="00721122"/>
    <w:rsid w:val="00753019"/>
    <w:rsid w:val="00754801"/>
    <w:rsid w:val="00761441"/>
    <w:rsid w:val="00784567"/>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5691F"/>
    <w:rsid w:val="009622DF"/>
    <w:rsid w:val="0096493F"/>
    <w:rsid w:val="00967DFF"/>
    <w:rsid w:val="00994341"/>
    <w:rsid w:val="00996935"/>
    <w:rsid w:val="009D1A48"/>
    <w:rsid w:val="009E1CE7"/>
    <w:rsid w:val="009E4EA5"/>
    <w:rsid w:val="009F164B"/>
    <w:rsid w:val="009F323C"/>
    <w:rsid w:val="00A0768A"/>
    <w:rsid w:val="00A3392B"/>
    <w:rsid w:val="00A55438"/>
    <w:rsid w:val="00A67DE8"/>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764C3"/>
    <w:rsid w:val="00D80799"/>
    <w:rsid w:val="00D96D8C"/>
    <w:rsid w:val="00DA6649"/>
    <w:rsid w:val="00DC1259"/>
    <w:rsid w:val="00DC1BD2"/>
    <w:rsid w:val="00DC2571"/>
    <w:rsid w:val="00DC487C"/>
    <w:rsid w:val="00DE1E7D"/>
    <w:rsid w:val="00DE6BF6"/>
    <w:rsid w:val="00E01C9C"/>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0BEB"/>
    <w:rsid w:val="00F44D1D"/>
    <w:rsid w:val="00F84B6D"/>
    <w:rsid w:val="00F957E8"/>
    <w:rsid w:val="00FA311A"/>
    <w:rsid w:val="00FA5FDA"/>
    <w:rsid w:val="00FB0EA0"/>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F048A"/>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31049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47F43" w:rsidP="00447F43">
          <w:pPr>
            <w:pStyle w:val="E460D38E05664FF79D4EFF282EF8EC992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111F9"/>
    <w:rsid w:val="002D02C4"/>
    <w:rsid w:val="00345C9D"/>
    <w:rsid w:val="00405FEA"/>
    <w:rsid w:val="00447F43"/>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D00A6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447F4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789</Words>
  <Characters>3946</Characters>
  <Application>Microsoft Office Word</Application>
  <DocSecurity>0</DocSecurity>
  <Lines>32</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2023-07-06T16:26:00Z</dcterms:created>
  <dcterms:modified xsi:type="dcterms:W3CDTF">2023-07-06T16:26:00Z</dcterms:modified>
</cp:coreProperties>
</file>